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5BF1" w14:textId="77777777" w:rsidR="008A18D0" w:rsidRDefault="008A18D0" w:rsidP="008A18D0">
      <w:pPr>
        <w:pStyle w:val="a3"/>
        <w:shd w:val="clear" w:color="auto" w:fill="FFFFFF"/>
        <w:spacing w:before="0" w:beforeAutospacing="0" w:after="200" w:afterAutospacing="0"/>
        <w:jc w:val="center"/>
        <w:rPr>
          <w:color w:val="212121"/>
          <w:sz w:val="21"/>
          <w:szCs w:val="21"/>
        </w:rPr>
      </w:pPr>
      <w:r>
        <w:rPr>
          <w:b/>
          <w:bCs/>
          <w:color w:val="212121"/>
          <w:sz w:val="32"/>
          <w:szCs w:val="32"/>
        </w:rPr>
        <w:t>О  недопущении распространения экстремизма</w:t>
      </w:r>
    </w:p>
    <w:p w14:paraId="642B0C88"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Памятка по недопущению распространения экстремизма 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Уголовного кодекса Российской Федерации.</w:t>
      </w:r>
    </w:p>
    <w:p w14:paraId="628CB165" w14:textId="77777777" w:rsidR="008A18D0" w:rsidRDefault="008A18D0" w:rsidP="008A18D0">
      <w:pPr>
        <w:pStyle w:val="a3"/>
        <w:shd w:val="clear" w:color="auto" w:fill="FFFFFF"/>
        <w:spacing w:before="0" w:beforeAutospacing="0" w:after="200" w:afterAutospacing="0"/>
        <w:jc w:val="center"/>
        <w:rPr>
          <w:color w:val="212121"/>
          <w:sz w:val="21"/>
          <w:szCs w:val="21"/>
        </w:rPr>
      </w:pPr>
      <w:r>
        <w:rPr>
          <w:b/>
          <w:bCs/>
          <w:color w:val="212121"/>
          <w:sz w:val="28"/>
          <w:szCs w:val="28"/>
        </w:rPr>
        <w:t>1. Основные понятия</w:t>
      </w:r>
    </w:p>
    <w:p w14:paraId="4A7E506C"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1.1. </w:t>
      </w:r>
      <w:r>
        <w:rPr>
          <w:b/>
          <w:bCs/>
          <w:color w:val="212121"/>
          <w:sz w:val="28"/>
          <w:szCs w:val="28"/>
        </w:rPr>
        <w:t>Экстремистская деятельность (экстремизм):</w:t>
      </w:r>
      <w:r>
        <w:rPr>
          <w:color w:val="212121"/>
          <w:sz w:val="28"/>
          <w:szCs w:val="28"/>
        </w:rPr>
        <w:t> насильственное изменение основ конституционного строя и нарушение целостности Российской Федерации; публичное оправдание терроризма и иная террористическая деятельность;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совершение преступлений по мотивам, указанным в пункте "е" части первой статьи 63 Уголовного кодекса Российской Федерации;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организация и подготовка указанных деяний, а также подстрекательство к их осуществлению;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14:paraId="6AE02C2E"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1.2. </w:t>
      </w:r>
      <w:r>
        <w:rPr>
          <w:b/>
          <w:bCs/>
          <w:color w:val="212121"/>
          <w:sz w:val="28"/>
          <w:szCs w:val="28"/>
        </w:rPr>
        <w:t>Экстремистская организация:</w:t>
      </w:r>
      <w:r>
        <w:rPr>
          <w:color w:val="212121"/>
          <w:sz w:val="28"/>
          <w:szCs w:val="28"/>
        </w:rPr>
        <w:t xml:space="preserve">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w:t>
      </w:r>
      <w:r>
        <w:rPr>
          <w:color w:val="212121"/>
          <w:sz w:val="28"/>
          <w:szCs w:val="28"/>
        </w:rPr>
        <w:lastRenderedPageBreak/>
        <w:t>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 1.3. Экстремистские материалы: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14:paraId="350BBE99" w14:textId="77777777" w:rsidR="008A18D0" w:rsidRDefault="008A18D0" w:rsidP="008A18D0">
      <w:pPr>
        <w:pStyle w:val="a3"/>
        <w:shd w:val="clear" w:color="auto" w:fill="FFFFFF"/>
        <w:spacing w:before="0" w:beforeAutospacing="0" w:after="200" w:afterAutospacing="0"/>
        <w:jc w:val="center"/>
        <w:rPr>
          <w:color w:val="212121"/>
          <w:sz w:val="21"/>
          <w:szCs w:val="21"/>
        </w:rPr>
      </w:pPr>
      <w:r>
        <w:rPr>
          <w:b/>
          <w:bCs/>
          <w:color w:val="212121"/>
          <w:sz w:val="28"/>
          <w:szCs w:val="28"/>
        </w:rPr>
        <w:t>2. Основные принципы противодействия экстремистской деятельности</w:t>
      </w:r>
    </w:p>
    <w:p w14:paraId="1E9BBDFD"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2.1.</w:t>
      </w:r>
      <w:r>
        <w:rPr>
          <w:color w:val="212121"/>
          <w:sz w:val="28"/>
          <w:szCs w:val="28"/>
        </w:rPr>
        <w:t> </w:t>
      </w:r>
      <w:r>
        <w:rPr>
          <w:b/>
          <w:bCs/>
          <w:color w:val="212121"/>
          <w:sz w:val="28"/>
          <w:szCs w:val="28"/>
        </w:rPr>
        <w:t>Противодействие экстремистской деятельности основывается на следующих принципах: </w:t>
      </w:r>
      <w:r>
        <w:rPr>
          <w:color w:val="212121"/>
          <w:sz w:val="28"/>
          <w:szCs w:val="28"/>
        </w:rPr>
        <w:t>признание, соблюдение и защита прав и свобод человека и гражданина, а равно законных интересов организации; законность; гласность; приоритет обеспечения безопасности Российской Федерации; приоритет мер, направленных на предупреждение экстремистской деятельности;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 неотвратимость наказания за осуществление экстремистской деятельности</w:t>
      </w:r>
    </w:p>
    <w:p w14:paraId="57D4548C" w14:textId="77777777" w:rsidR="008A18D0" w:rsidRDefault="008A18D0" w:rsidP="008A18D0">
      <w:pPr>
        <w:pStyle w:val="a3"/>
        <w:shd w:val="clear" w:color="auto" w:fill="FFFFFF"/>
        <w:spacing w:before="0" w:beforeAutospacing="0" w:after="200" w:afterAutospacing="0"/>
        <w:jc w:val="center"/>
        <w:rPr>
          <w:color w:val="212121"/>
          <w:sz w:val="21"/>
          <w:szCs w:val="21"/>
        </w:rPr>
      </w:pPr>
      <w:r>
        <w:rPr>
          <w:b/>
          <w:bCs/>
          <w:color w:val="212121"/>
          <w:sz w:val="28"/>
          <w:szCs w:val="28"/>
        </w:rPr>
        <w:t>3. Основные направления противодействия экстремистской деятельности</w:t>
      </w:r>
    </w:p>
    <w:p w14:paraId="07BC5D33"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3.1.</w:t>
      </w:r>
      <w:r>
        <w:rPr>
          <w:color w:val="212121"/>
          <w:sz w:val="28"/>
          <w:szCs w:val="28"/>
        </w:rPr>
        <w:t> </w:t>
      </w:r>
      <w:r>
        <w:rPr>
          <w:b/>
          <w:bCs/>
          <w:color w:val="212121"/>
          <w:sz w:val="28"/>
          <w:szCs w:val="28"/>
        </w:rPr>
        <w:t>Противодействие экстремистской деятельности осуществляется последующим основным направлениям:</w:t>
      </w:r>
      <w:r>
        <w:rPr>
          <w:color w:val="212121"/>
          <w:sz w:val="28"/>
          <w:szCs w:val="28"/>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выявление, предупреждение и пресечение экстремистской деятельности общественных и религиозных объединений, иных организаций, физических лиц</w:t>
      </w:r>
    </w:p>
    <w:p w14:paraId="605014F0" w14:textId="77777777" w:rsidR="008A18D0" w:rsidRDefault="008A18D0" w:rsidP="008A18D0">
      <w:pPr>
        <w:pStyle w:val="a3"/>
        <w:shd w:val="clear" w:color="auto" w:fill="FFFFFF"/>
        <w:spacing w:before="0" w:beforeAutospacing="0" w:after="200" w:afterAutospacing="0"/>
        <w:jc w:val="center"/>
        <w:rPr>
          <w:color w:val="212121"/>
          <w:sz w:val="21"/>
          <w:szCs w:val="21"/>
        </w:rPr>
      </w:pPr>
      <w:r>
        <w:rPr>
          <w:b/>
          <w:bCs/>
          <w:color w:val="212121"/>
          <w:sz w:val="28"/>
          <w:szCs w:val="28"/>
        </w:rPr>
        <w:t>4. Ответственность за осуществление экстремистской деятельности</w:t>
      </w:r>
    </w:p>
    <w:p w14:paraId="7B4029DA"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4.1.</w:t>
      </w:r>
      <w:r>
        <w:rPr>
          <w:color w:val="212121"/>
          <w:sz w:val="28"/>
          <w:szCs w:val="28"/>
        </w:rPr>
        <w:t> </w:t>
      </w:r>
      <w:r>
        <w:rPr>
          <w:b/>
          <w:bCs/>
          <w:color w:val="212121"/>
          <w:sz w:val="28"/>
          <w:szCs w:val="28"/>
        </w:rPr>
        <w:t>Ответственность за распространение экстремистских материалов.</w:t>
      </w:r>
      <w:r>
        <w:rPr>
          <w:color w:val="212121"/>
          <w:sz w:val="28"/>
          <w:szCs w:val="28"/>
        </w:rPr>
        <w:t xml:space="preserve">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федеральным судом по месту их обнаружения, </w:t>
      </w:r>
      <w:r>
        <w:rPr>
          <w:color w:val="212121"/>
          <w:sz w:val="28"/>
          <w:szCs w:val="28"/>
        </w:rPr>
        <w:lastRenderedPageBreak/>
        <w:t>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о признании информационных материалов экстремистскими судом принимается решение об их конфискации. 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14:paraId="67929B43"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4.2.</w:t>
      </w:r>
      <w:r>
        <w:rPr>
          <w:color w:val="212121"/>
          <w:sz w:val="28"/>
          <w:szCs w:val="28"/>
        </w:rPr>
        <w:t> </w:t>
      </w:r>
      <w:r>
        <w:rPr>
          <w:b/>
          <w:bCs/>
          <w:color w:val="212121"/>
          <w:sz w:val="28"/>
          <w:szCs w:val="28"/>
        </w:rPr>
        <w:t>Ответственность должностных лиц, государственных и муниципальных служащих за осуществление ими экстремистской деятельности.</w:t>
      </w:r>
      <w:r>
        <w:rPr>
          <w:color w:val="212121"/>
          <w:sz w:val="28"/>
          <w:szCs w:val="28"/>
        </w:rPr>
        <w:t> 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14:paraId="7E5B37F9"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4.3. Ответственность граждан Российской Федерации, иностранных граждан и лиц без гражданства за осуществление экстремистской деятельности.</w:t>
      </w:r>
      <w:r>
        <w:rPr>
          <w:color w:val="212121"/>
          <w:sz w:val="28"/>
          <w:szCs w:val="28"/>
        </w:rPr>
        <w:t xml:space="preserve">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w:t>
      </w:r>
      <w:r>
        <w:rPr>
          <w:color w:val="212121"/>
          <w:sz w:val="28"/>
          <w:szCs w:val="28"/>
        </w:rPr>
        <w:lastRenderedPageBreak/>
        <w:t>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14:paraId="0C7F351C" w14:textId="77777777" w:rsidR="008A18D0" w:rsidRDefault="008A18D0" w:rsidP="008A18D0">
      <w:pPr>
        <w:pStyle w:val="a3"/>
        <w:shd w:val="clear" w:color="auto" w:fill="FFFFFF"/>
        <w:spacing w:before="0" w:beforeAutospacing="0" w:after="200" w:afterAutospacing="0"/>
        <w:jc w:val="center"/>
        <w:rPr>
          <w:color w:val="212121"/>
          <w:sz w:val="21"/>
          <w:szCs w:val="21"/>
        </w:rPr>
      </w:pPr>
      <w:r>
        <w:rPr>
          <w:b/>
          <w:bCs/>
          <w:color w:val="212121"/>
          <w:sz w:val="28"/>
          <w:szCs w:val="28"/>
        </w:rPr>
        <w:t>5. Запреты и недопущения</w:t>
      </w:r>
    </w:p>
    <w:p w14:paraId="07252B26"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5.1.</w:t>
      </w:r>
      <w:r>
        <w:rPr>
          <w:color w:val="212121"/>
          <w:sz w:val="28"/>
          <w:szCs w:val="28"/>
        </w:rPr>
        <w:t> </w:t>
      </w:r>
      <w:r>
        <w:rPr>
          <w:b/>
          <w:bCs/>
          <w:color w:val="212121"/>
          <w:sz w:val="28"/>
          <w:szCs w:val="28"/>
        </w:rPr>
        <w:t>Недопущение использования сетей связи общего пользования для осуществления экстремистской деятельности.</w:t>
      </w:r>
      <w:r>
        <w:rPr>
          <w:color w:val="212121"/>
          <w:sz w:val="28"/>
          <w:szCs w:val="28"/>
        </w:rPr>
        <w:t> 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14:paraId="37F4F838"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5.2.</w:t>
      </w:r>
      <w:r>
        <w:rPr>
          <w:color w:val="212121"/>
          <w:sz w:val="28"/>
          <w:szCs w:val="28"/>
        </w:rPr>
        <w:t> </w:t>
      </w:r>
      <w:r>
        <w:rPr>
          <w:b/>
          <w:bCs/>
          <w:color w:val="212121"/>
          <w:sz w:val="28"/>
          <w:szCs w:val="28"/>
        </w:rPr>
        <w:t>Недопущение осуществления экстремистской деятельности при проведении массовых акций.</w:t>
      </w:r>
      <w:r>
        <w:rPr>
          <w:color w:val="212121"/>
          <w:sz w:val="28"/>
          <w:szCs w:val="28"/>
        </w:rPr>
        <w:t xml:space="preserve">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В случае обнаружения </w:t>
      </w:r>
      <w:r>
        <w:rPr>
          <w:color w:val="212121"/>
          <w:sz w:val="28"/>
          <w:szCs w:val="28"/>
        </w:rPr>
        <w:lastRenderedPageBreak/>
        <w:t>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14:paraId="4BE344A6"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6. Виды ответственности за осуществление экстремистской деятельности</w:t>
      </w:r>
    </w:p>
    <w:p w14:paraId="68CD7902"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6.1. Административная ответственность.</w:t>
      </w:r>
      <w:r>
        <w:rPr>
          <w:color w:val="212121"/>
          <w:sz w:val="28"/>
          <w:szCs w:val="28"/>
        </w:rPr>
        <w:t> Нарушение законодательства о свободе совести, свободе вероисповедания и о религиозных объединениях</w:t>
      </w:r>
    </w:p>
    <w:p w14:paraId="2DA8205D"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14:paraId="25EE5313"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 xml:space="preserve">2.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5.26.Кодекса Российской Федерации об административных правонарушениях). Злоупотребление свободой массовой информации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w:t>
      </w:r>
      <w:r>
        <w:rPr>
          <w:color w:val="212121"/>
          <w:sz w:val="28"/>
          <w:szCs w:val="28"/>
        </w:rPr>
        <w:lastRenderedPageBreak/>
        <w:t>правонарушения (статья 13.15.Кодекса Российской Федерации об административных правонарушениях).</w:t>
      </w:r>
    </w:p>
    <w:p w14:paraId="42F5B7B9"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Пропаганда и публичное демонстрирование нацистской атрибутики или символики</w:t>
      </w:r>
    </w:p>
    <w:p w14:paraId="67961A68"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14:paraId="047FFEB2"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 xml:space="preserve">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20.3.Кодекса Российской Федерации об административных правонарушениях).Организация деятельности общественного или религиозного объединения, в отношении которого принято решение о приостановлении его деятельности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20.28.Кодекса Российской Федерации об административных правонарушениях).Производство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w:t>
      </w:r>
      <w:r>
        <w:rPr>
          <w:color w:val="212121"/>
          <w:sz w:val="28"/>
          <w:szCs w:val="28"/>
        </w:rPr>
        <w:lastRenderedPageBreak/>
        <w:t>производства (статья 20.29.Кодекса Российской Федерации об административных правонарушениях).</w:t>
      </w:r>
    </w:p>
    <w:p w14:paraId="3D5AB041"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6.2. Уголовная ответственность.</w:t>
      </w:r>
      <w:r>
        <w:rPr>
          <w:color w:val="212121"/>
          <w:sz w:val="28"/>
          <w:szCs w:val="28"/>
        </w:rPr>
        <w:t> Обстоятельства, отягчающие наказание 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 Воспрепятствование осуществлению права на свободу совести и вероисповеданий 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
    <w:p w14:paraId="5B28934A"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Террористический акт</w:t>
      </w:r>
    </w:p>
    <w:p w14:paraId="3EA76A61"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
    <w:p w14:paraId="37A8E5AD"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2. Те же деяния: а) совершенные группой лиц по предварительному сговору или организованной группой; б) повлекшие по неосторожности смерть человека; 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14:paraId="658000E7"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3. Деяния, предусмотренные частями первой или второй настоящей статьи, если они: 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14:paraId="7AAF7CB3"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w:t>
      </w:r>
      <w:r>
        <w:rPr>
          <w:color w:val="212121"/>
          <w:sz w:val="28"/>
          <w:szCs w:val="28"/>
        </w:rPr>
        <w:lastRenderedPageBreak/>
        <w:t>этого лица не содержится иного состава преступления (статья 205 Уголовного кодекса Российской Федерации).</w:t>
      </w:r>
    </w:p>
    <w:p w14:paraId="394FD69D"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Содействие террористической деятельности:  </w:t>
      </w:r>
    </w:p>
    <w:p w14:paraId="46E91AFA"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1. 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
    <w:p w14:paraId="77BCCFC5"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14:paraId="217BA870"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Примечание.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205.1.Уголовного кодекса Российской Федерации).</w:t>
      </w:r>
    </w:p>
    <w:p w14:paraId="1FF98B82"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Публичные призывы к осуществлению террористической деятельности или публичное оправдание терроризма</w:t>
      </w:r>
    </w:p>
    <w:p w14:paraId="4369C441"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14:paraId="4B9ADD23"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 xml:space="preserve">2. 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w:t>
      </w:r>
      <w:r>
        <w:rPr>
          <w:color w:val="212121"/>
          <w:sz w:val="28"/>
          <w:szCs w:val="28"/>
        </w:rPr>
        <w:lastRenderedPageBreak/>
        <w:t>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205.2.Уголовного кодекса Российской Федерации). Заведомо ложное сообщение об акте терроризма.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14:paraId="0F22544B"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Массовые беспорядки</w:t>
      </w:r>
    </w:p>
    <w:p w14:paraId="33088D26"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 наказывается лишением свободы на срок от четырех до десяти лет.</w:t>
      </w:r>
    </w:p>
    <w:p w14:paraId="6A1BC4B7"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14:paraId="46569F7C"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14:paraId="04312D52" w14:textId="77777777" w:rsidR="008A18D0" w:rsidRDefault="008A18D0" w:rsidP="008A18D0">
      <w:pPr>
        <w:pStyle w:val="a3"/>
        <w:shd w:val="clear" w:color="auto" w:fill="FFFFFF"/>
        <w:spacing w:before="0" w:beforeAutospacing="0" w:after="200" w:afterAutospacing="0"/>
        <w:jc w:val="both"/>
        <w:rPr>
          <w:color w:val="212121"/>
          <w:sz w:val="21"/>
          <w:szCs w:val="21"/>
        </w:rPr>
      </w:pPr>
      <w:r>
        <w:rPr>
          <w:b/>
          <w:bCs/>
          <w:color w:val="212121"/>
          <w:sz w:val="28"/>
          <w:szCs w:val="28"/>
        </w:rPr>
        <w:t>Хулиганство</w:t>
      </w:r>
    </w:p>
    <w:p w14:paraId="6DA44B06"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t>1. Хулиганство, то есть грубое нарушение общественного порядка, выражающее явное неуважение к обществу, совершенное: а) с применением оружия или предметов, используемых в качестве оружия; 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14:paraId="52DF13C6" w14:textId="77777777" w:rsidR="008A18D0" w:rsidRDefault="008A18D0" w:rsidP="008A18D0">
      <w:pPr>
        <w:pStyle w:val="a3"/>
        <w:shd w:val="clear" w:color="auto" w:fill="FFFFFF"/>
        <w:spacing w:before="0" w:beforeAutospacing="0" w:after="200" w:afterAutospacing="0"/>
        <w:jc w:val="both"/>
        <w:rPr>
          <w:color w:val="212121"/>
          <w:sz w:val="21"/>
          <w:szCs w:val="21"/>
        </w:rPr>
      </w:pPr>
      <w:r>
        <w:rPr>
          <w:color w:val="212121"/>
          <w:sz w:val="28"/>
          <w:szCs w:val="28"/>
        </w:rPr>
        <w:lastRenderedPageBreak/>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14:paraId="7B6FBA88" w14:textId="77777777" w:rsidR="00FD2FD4" w:rsidRDefault="00FD2FD4"/>
    <w:sectPr w:rsidR="00FD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1662"/>
    <w:rsid w:val="00531662"/>
    <w:rsid w:val="008A18D0"/>
    <w:rsid w:val="00FD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E8B5B-E204-42B5-8E54-4F458847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8D0"/>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3600</Words>
  <Characters>20522</Characters>
  <Application>Microsoft Office Word</Application>
  <DocSecurity>0</DocSecurity>
  <Lines>171</Lines>
  <Paragraphs>48</Paragraphs>
  <ScaleCrop>false</ScaleCrop>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2023-05-04T16:00:00Z</dcterms:created>
  <dcterms:modified xsi:type="dcterms:W3CDTF">2023-05-04T16:00:00Z</dcterms:modified>
</cp:coreProperties>
</file>