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A777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>Особенности профилактики и борьбы с проявлениями экстремизма и терроризма в молодежной среде</w:t>
      </w:r>
    </w:p>
    <w:p w14:paraId="34985A4C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14:paraId="53CCD5D2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14:paraId="7433CCAD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14:paraId="023FFE9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14:paraId="6C159B93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14:paraId="13FE3844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</w:t>
      </w:r>
      <w:r>
        <w:rPr>
          <w:color w:val="000000"/>
          <w:sz w:val="32"/>
          <w:szCs w:val="32"/>
          <w:shd w:val="clear" w:color="auto" w:fill="FFFFFF"/>
        </w:rPr>
        <w:lastRenderedPageBreak/>
        <w:t>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14:paraId="1AC1357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14:paraId="012BCE07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14:paraId="088B88D6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</w:t>
      </w:r>
      <w:r>
        <w:rPr>
          <w:color w:val="000000"/>
          <w:sz w:val="32"/>
          <w:szCs w:val="32"/>
          <w:shd w:val="clear" w:color="auto" w:fill="FFFFFF"/>
        </w:rPr>
        <w:lastRenderedPageBreak/>
        <w:t>толерантности, просветительских программ и семинаров по вопросам толерантности.</w:t>
      </w:r>
    </w:p>
    <w:p w14:paraId="6C0D264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14:paraId="4F81468B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14:paraId="2D7C2A46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14:paraId="0F6E88DD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Следует выделить основные особенности экстремизма в молодежной среде:</w:t>
      </w:r>
    </w:p>
    <w:p w14:paraId="1E853A1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Во-первых, экстремизм формируется преимущественно в маргинальной среде. Он постоянно подпитывается </w:t>
      </w:r>
      <w:r>
        <w:rPr>
          <w:color w:val="000000"/>
          <w:sz w:val="32"/>
          <w:szCs w:val="32"/>
          <w:shd w:val="clear" w:color="auto" w:fill="FFFFFF"/>
        </w:rPr>
        <w:lastRenderedPageBreak/>
        <w:t>неопределенностью положения молодого человека и его неустановившимися взглядами на происходящее.</w:t>
      </w:r>
    </w:p>
    <w:p w14:paraId="78113EFE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14:paraId="48AA858B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14:paraId="50D1F54B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14:paraId="21BC293F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14:paraId="4A87180C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14:paraId="3BB26D1C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14:paraId="4710A277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14:paraId="64357A28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14:paraId="729C42F2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- это проявление так называемого «исламского фактора» (пропаганда среди молодых мусульман России идей религиозного </w:t>
      </w:r>
      <w:r>
        <w:rPr>
          <w:color w:val="000000"/>
          <w:sz w:val="32"/>
          <w:szCs w:val="32"/>
          <w:shd w:val="clear" w:color="auto" w:fill="FFFFFF"/>
        </w:rPr>
        <w:lastRenderedPageBreak/>
        <w:t>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14:paraId="6FC125C3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14:paraId="5FD2A0C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14:paraId="2E6DC9C8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- 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14:paraId="44E2C3F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14:paraId="4A83B69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14:paraId="39FF8D20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 xml:space="preserve"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</w:t>
      </w:r>
      <w:r>
        <w:rPr>
          <w:color w:val="000000"/>
          <w:sz w:val="32"/>
          <w:szCs w:val="32"/>
          <w:shd w:val="clear" w:color="auto" w:fill="FFFFFF"/>
        </w:rPr>
        <w:lastRenderedPageBreak/>
        <w:t>конфессиональных, культурных и любых других проблем и противоречий.</w:t>
      </w:r>
    </w:p>
    <w:p w14:paraId="1BD5E429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бизнес-сообщества, образовательные структуры и средства массовой информации.</w:t>
      </w:r>
    </w:p>
    <w:p w14:paraId="779EC312" w14:textId="77777777" w:rsidR="005449FA" w:rsidRDefault="005449FA" w:rsidP="005449FA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32"/>
          <w:szCs w:val="32"/>
          <w:shd w:val="clear" w:color="auto" w:fill="FFFFFF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14:paraId="5AE0773E" w14:textId="77777777" w:rsidR="00FD2FD4" w:rsidRDefault="00FD2FD4"/>
    <w:sectPr w:rsidR="00FD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762"/>
    <w:rsid w:val="004A1762"/>
    <w:rsid w:val="005449FA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4F9D4-F464-4530-A3B0-BAC2445D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8657</Characters>
  <Application>Microsoft Office Word</Application>
  <DocSecurity>0</DocSecurity>
  <Lines>72</Lines>
  <Paragraphs>20</Paragraphs>
  <ScaleCrop>false</ScaleCrop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2023-05-04T16:00:00Z</dcterms:created>
  <dcterms:modified xsi:type="dcterms:W3CDTF">2023-05-04T16:00:00Z</dcterms:modified>
</cp:coreProperties>
</file>